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canto ha fatto da contorno a molti momenti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insieme, gridarlo e sentire che c’è qualcosa di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forte che può unire e muovere le persone più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ogni singola amicizia.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trova in internet come canto religioso.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realtà è un canto con un testo “universale”,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pienamente condivisibile anche da chi a Dio non crede.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